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C3A5CB">
      <w:pPr>
        <w:pStyle w:val="2"/>
        <w:spacing w:before="120" w:beforeLines="50" w:after="120" w:afterLines="50"/>
        <w:rPr>
          <w:rFonts w:hint="eastAsia" w:ascii="宋体" w:hAnsi="宋体" w:eastAsia="宋体"/>
          <w:sz w:val="28"/>
          <w:szCs w:val="28"/>
        </w:rPr>
      </w:pPr>
      <w:bookmarkStart w:id="0" w:name="_Toc17240"/>
      <w:bookmarkStart w:id="1" w:name="_Toc166329793"/>
      <w:r>
        <w:rPr>
          <w:rFonts w:hint="eastAsia" w:ascii="宋体" w:hAnsi="宋体" w:eastAsia="宋体"/>
          <w:sz w:val="28"/>
          <w:szCs w:val="28"/>
        </w:rPr>
        <w:t>附表一 初步评审表</w:t>
      </w:r>
      <w:bookmarkEnd w:id="0"/>
      <w:bookmarkEnd w:id="1"/>
    </w:p>
    <w:tbl>
      <w:tblPr>
        <w:tblStyle w:val="4"/>
        <w:tblW w:w="9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969"/>
        <w:gridCol w:w="1527"/>
        <w:gridCol w:w="6463"/>
      </w:tblGrid>
      <w:tr w14:paraId="2A2F4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52" w:type="dxa"/>
            <w:tcBorders>
              <w:top w:val="single" w:color="auto" w:sz="4" w:space="0"/>
              <w:left w:val="single" w:color="auto" w:sz="4" w:space="0"/>
              <w:bottom w:val="single" w:color="auto" w:sz="4" w:space="0"/>
              <w:right w:val="single" w:color="auto" w:sz="4" w:space="0"/>
            </w:tcBorders>
            <w:vAlign w:val="center"/>
          </w:tcPr>
          <w:p w14:paraId="76BC09ED">
            <w:pPr>
              <w:spacing w:line="276" w:lineRule="auto"/>
              <w:jc w:val="center"/>
              <w:rPr>
                <w:b/>
                <w:sz w:val="24"/>
              </w:rPr>
            </w:pPr>
            <w:r>
              <w:rPr>
                <w:rFonts w:hint="eastAsia"/>
                <w:b/>
                <w:sz w:val="24"/>
              </w:rPr>
              <w:t>序号</w:t>
            </w:r>
          </w:p>
        </w:tc>
        <w:tc>
          <w:tcPr>
            <w:tcW w:w="969" w:type="dxa"/>
            <w:tcBorders>
              <w:top w:val="single" w:color="auto" w:sz="4" w:space="0"/>
              <w:left w:val="single" w:color="auto" w:sz="4" w:space="0"/>
              <w:bottom w:val="single" w:color="auto" w:sz="4" w:space="0"/>
              <w:right w:val="single" w:color="auto" w:sz="4" w:space="0"/>
            </w:tcBorders>
            <w:vAlign w:val="center"/>
          </w:tcPr>
          <w:p w14:paraId="26D5B73E">
            <w:pPr>
              <w:spacing w:line="276" w:lineRule="auto"/>
              <w:jc w:val="center"/>
              <w:rPr>
                <w:b/>
                <w:sz w:val="24"/>
              </w:rPr>
            </w:pPr>
            <w:r>
              <w:rPr>
                <w:rFonts w:hint="eastAsia"/>
                <w:b/>
                <w:sz w:val="24"/>
              </w:rPr>
              <w:t>评审</w:t>
            </w:r>
          </w:p>
          <w:p w14:paraId="6FE39FF6">
            <w:pPr>
              <w:spacing w:line="276" w:lineRule="auto"/>
              <w:jc w:val="center"/>
              <w:rPr>
                <w:b/>
                <w:sz w:val="24"/>
              </w:rPr>
            </w:pPr>
            <w:r>
              <w:rPr>
                <w:rFonts w:hint="eastAsia"/>
                <w:b/>
                <w:sz w:val="24"/>
              </w:rPr>
              <w:t>内容</w:t>
            </w:r>
          </w:p>
        </w:tc>
        <w:tc>
          <w:tcPr>
            <w:tcW w:w="1527" w:type="dxa"/>
            <w:tcBorders>
              <w:top w:val="single" w:color="auto" w:sz="4" w:space="0"/>
              <w:left w:val="single" w:color="auto" w:sz="4" w:space="0"/>
              <w:bottom w:val="single" w:color="auto" w:sz="4" w:space="0"/>
              <w:right w:val="single" w:color="auto" w:sz="4" w:space="0"/>
            </w:tcBorders>
            <w:vAlign w:val="center"/>
          </w:tcPr>
          <w:p w14:paraId="0A7C836D">
            <w:pPr>
              <w:spacing w:line="276" w:lineRule="auto"/>
              <w:jc w:val="center"/>
              <w:rPr>
                <w:b/>
                <w:sz w:val="24"/>
              </w:rPr>
            </w:pPr>
            <w:r>
              <w:rPr>
                <w:rFonts w:hint="eastAsia"/>
                <w:b/>
                <w:sz w:val="24"/>
              </w:rPr>
              <w:t>评审因素</w:t>
            </w:r>
          </w:p>
        </w:tc>
        <w:tc>
          <w:tcPr>
            <w:tcW w:w="6463" w:type="dxa"/>
            <w:tcBorders>
              <w:top w:val="single" w:color="auto" w:sz="4" w:space="0"/>
              <w:left w:val="single" w:color="auto" w:sz="4" w:space="0"/>
              <w:bottom w:val="single" w:color="auto" w:sz="4" w:space="0"/>
              <w:right w:val="single" w:color="auto" w:sz="4" w:space="0"/>
            </w:tcBorders>
            <w:vAlign w:val="center"/>
          </w:tcPr>
          <w:p w14:paraId="65CAA52B">
            <w:pPr>
              <w:spacing w:line="276" w:lineRule="auto"/>
              <w:jc w:val="center"/>
              <w:rPr>
                <w:b/>
                <w:sz w:val="24"/>
              </w:rPr>
            </w:pPr>
            <w:r>
              <w:rPr>
                <w:rFonts w:hint="eastAsia"/>
                <w:b/>
                <w:sz w:val="24"/>
              </w:rPr>
              <w:t>评审标准</w:t>
            </w:r>
          </w:p>
        </w:tc>
      </w:tr>
      <w:tr w14:paraId="3E0E2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652" w:type="dxa"/>
            <w:vMerge w:val="restart"/>
            <w:tcBorders>
              <w:top w:val="single" w:color="auto" w:sz="4" w:space="0"/>
              <w:left w:val="single" w:color="auto" w:sz="4" w:space="0"/>
              <w:right w:val="single" w:color="auto" w:sz="4" w:space="0"/>
            </w:tcBorders>
            <w:vAlign w:val="center"/>
          </w:tcPr>
          <w:p w14:paraId="71FB635B">
            <w:pPr>
              <w:spacing w:line="276" w:lineRule="auto"/>
              <w:jc w:val="center"/>
              <w:rPr>
                <w:sz w:val="24"/>
              </w:rPr>
            </w:pPr>
            <w:r>
              <w:rPr>
                <w:rFonts w:hint="eastAsia"/>
                <w:sz w:val="24"/>
              </w:rPr>
              <w:t>1</w:t>
            </w:r>
          </w:p>
        </w:tc>
        <w:tc>
          <w:tcPr>
            <w:tcW w:w="969" w:type="dxa"/>
            <w:vMerge w:val="restart"/>
            <w:tcBorders>
              <w:top w:val="single" w:color="auto" w:sz="4" w:space="0"/>
              <w:left w:val="single" w:color="auto" w:sz="4" w:space="0"/>
              <w:right w:val="single" w:color="auto" w:sz="4" w:space="0"/>
            </w:tcBorders>
            <w:vAlign w:val="center"/>
          </w:tcPr>
          <w:p w14:paraId="541F81C2">
            <w:pPr>
              <w:jc w:val="center"/>
              <w:rPr>
                <w:sz w:val="24"/>
              </w:rPr>
            </w:pPr>
            <w:r>
              <w:rPr>
                <w:rFonts w:hint="eastAsia"/>
                <w:sz w:val="24"/>
              </w:rPr>
              <w:t>资格性评审</w:t>
            </w:r>
          </w:p>
        </w:tc>
        <w:tc>
          <w:tcPr>
            <w:tcW w:w="1527" w:type="dxa"/>
            <w:tcBorders>
              <w:top w:val="single" w:color="auto" w:sz="4" w:space="0"/>
              <w:left w:val="single" w:color="auto" w:sz="4" w:space="0"/>
              <w:bottom w:val="single" w:color="auto" w:sz="4" w:space="0"/>
              <w:right w:val="single" w:color="auto" w:sz="4" w:space="0"/>
            </w:tcBorders>
            <w:vAlign w:val="center"/>
          </w:tcPr>
          <w:p w14:paraId="57C1D84D">
            <w:pPr>
              <w:spacing w:line="0" w:lineRule="atLeast"/>
              <w:jc w:val="center"/>
              <w:rPr>
                <w:sz w:val="24"/>
              </w:rPr>
            </w:pPr>
            <w:r>
              <w:rPr>
                <w:rFonts w:hint="eastAsia"/>
                <w:sz w:val="24"/>
              </w:rPr>
              <w:t>营业执照及资格要求</w:t>
            </w:r>
          </w:p>
        </w:tc>
        <w:tc>
          <w:tcPr>
            <w:tcW w:w="6463" w:type="dxa"/>
            <w:tcBorders>
              <w:top w:val="single" w:color="auto" w:sz="4" w:space="0"/>
              <w:left w:val="single" w:color="auto" w:sz="4" w:space="0"/>
              <w:bottom w:val="single" w:color="auto" w:sz="4" w:space="0"/>
              <w:right w:val="single" w:color="auto" w:sz="4" w:space="0"/>
            </w:tcBorders>
            <w:vAlign w:val="center"/>
          </w:tcPr>
          <w:p w14:paraId="4293E03C">
            <w:pPr>
              <w:spacing w:line="360" w:lineRule="exact"/>
              <w:rPr>
                <w:sz w:val="24"/>
              </w:rPr>
            </w:pPr>
            <w:r>
              <w:rPr>
                <w:rFonts w:hint="eastAsia"/>
                <w:sz w:val="24"/>
              </w:rPr>
              <w:t>提供法人或者其他组织的营业执照等证明文件，自然人的身份证明</w:t>
            </w:r>
          </w:p>
        </w:tc>
      </w:tr>
      <w:tr w14:paraId="1FB4C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652" w:type="dxa"/>
            <w:vMerge w:val="continue"/>
            <w:tcBorders>
              <w:left w:val="single" w:color="auto" w:sz="4" w:space="0"/>
              <w:right w:val="single" w:color="auto" w:sz="4" w:space="0"/>
            </w:tcBorders>
            <w:vAlign w:val="center"/>
          </w:tcPr>
          <w:p w14:paraId="3F9F1ABC">
            <w:pPr>
              <w:spacing w:line="276" w:lineRule="auto"/>
              <w:jc w:val="center"/>
              <w:rPr>
                <w:sz w:val="24"/>
              </w:rPr>
            </w:pPr>
          </w:p>
        </w:tc>
        <w:tc>
          <w:tcPr>
            <w:tcW w:w="969" w:type="dxa"/>
            <w:vMerge w:val="continue"/>
            <w:tcBorders>
              <w:left w:val="single" w:color="auto" w:sz="4" w:space="0"/>
              <w:right w:val="single" w:color="auto" w:sz="4" w:space="0"/>
            </w:tcBorders>
            <w:vAlign w:val="center"/>
          </w:tcPr>
          <w:p w14:paraId="55D182A0">
            <w:pPr>
              <w:jc w:val="center"/>
              <w:rPr>
                <w:sz w:val="24"/>
              </w:rPr>
            </w:pPr>
          </w:p>
        </w:tc>
        <w:tc>
          <w:tcPr>
            <w:tcW w:w="1527" w:type="dxa"/>
            <w:tcBorders>
              <w:top w:val="single" w:color="auto" w:sz="4" w:space="0"/>
              <w:left w:val="single" w:color="auto" w:sz="4" w:space="0"/>
              <w:bottom w:val="single" w:color="auto" w:sz="4" w:space="0"/>
              <w:right w:val="single" w:color="auto" w:sz="4" w:space="0"/>
            </w:tcBorders>
            <w:vAlign w:val="center"/>
          </w:tcPr>
          <w:p w14:paraId="618D1648">
            <w:pPr>
              <w:spacing w:line="0" w:lineRule="atLeast"/>
              <w:jc w:val="center"/>
              <w:rPr>
                <w:sz w:val="24"/>
              </w:rPr>
            </w:pPr>
            <w:r>
              <w:rPr>
                <w:rFonts w:hint="eastAsia"/>
                <w:sz w:val="24"/>
              </w:rPr>
              <w:t>资质证书</w:t>
            </w:r>
          </w:p>
        </w:tc>
        <w:tc>
          <w:tcPr>
            <w:tcW w:w="6463" w:type="dxa"/>
            <w:tcBorders>
              <w:top w:val="single" w:color="auto" w:sz="4" w:space="0"/>
              <w:left w:val="single" w:color="auto" w:sz="4" w:space="0"/>
              <w:bottom w:val="single" w:color="auto" w:sz="4" w:space="0"/>
              <w:right w:val="single" w:color="auto" w:sz="4" w:space="0"/>
            </w:tcBorders>
            <w:vAlign w:val="center"/>
          </w:tcPr>
          <w:p w14:paraId="7C9CA00B">
            <w:pPr>
              <w:spacing w:line="360" w:lineRule="exact"/>
              <w:rPr>
                <w:sz w:val="24"/>
              </w:rPr>
            </w:pPr>
            <w:r>
              <w:rPr>
                <w:rFonts w:hint="eastAsia"/>
                <w:sz w:val="24"/>
              </w:rPr>
              <w:t>提供有效的船舶所有权证书、船舶安全与环保证书（或有效期内的船舶检验证书）、船舶国籍证书</w:t>
            </w:r>
          </w:p>
        </w:tc>
      </w:tr>
      <w:tr w14:paraId="54AA5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652" w:type="dxa"/>
            <w:vMerge w:val="continue"/>
            <w:tcBorders>
              <w:left w:val="single" w:color="auto" w:sz="4" w:space="0"/>
              <w:right w:val="single" w:color="auto" w:sz="4" w:space="0"/>
            </w:tcBorders>
            <w:vAlign w:val="center"/>
          </w:tcPr>
          <w:p w14:paraId="75833FEE">
            <w:pPr>
              <w:spacing w:line="276" w:lineRule="auto"/>
              <w:jc w:val="center"/>
              <w:rPr>
                <w:sz w:val="24"/>
              </w:rPr>
            </w:pPr>
          </w:p>
        </w:tc>
        <w:tc>
          <w:tcPr>
            <w:tcW w:w="969" w:type="dxa"/>
            <w:vMerge w:val="continue"/>
            <w:tcBorders>
              <w:left w:val="single" w:color="auto" w:sz="4" w:space="0"/>
              <w:right w:val="single" w:color="auto" w:sz="4" w:space="0"/>
            </w:tcBorders>
            <w:vAlign w:val="center"/>
          </w:tcPr>
          <w:p w14:paraId="4738784F">
            <w:pPr>
              <w:jc w:val="center"/>
              <w:rPr>
                <w:sz w:val="24"/>
              </w:rPr>
            </w:pPr>
          </w:p>
        </w:tc>
        <w:tc>
          <w:tcPr>
            <w:tcW w:w="1527" w:type="dxa"/>
            <w:tcBorders>
              <w:top w:val="single" w:color="auto" w:sz="4" w:space="0"/>
              <w:left w:val="single" w:color="auto" w:sz="4" w:space="0"/>
              <w:bottom w:val="single" w:color="auto" w:sz="4" w:space="0"/>
              <w:right w:val="single" w:color="auto" w:sz="4" w:space="0"/>
            </w:tcBorders>
            <w:vAlign w:val="center"/>
          </w:tcPr>
          <w:p w14:paraId="5C6C4970">
            <w:pPr>
              <w:spacing w:line="0" w:lineRule="atLeast"/>
              <w:jc w:val="center"/>
              <w:rPr>
                <w:sz w:val="24"/>
              </w:rPr>
            </w:pPr>
            <w:r>
              <w:rPr>
                <w:rFonts w:hint="eastAsia"/>
                <w:sz w:val="24"/>
              </w:rPr>
              <w:t>信用记录</w:t>
            </w:r>
          </w:p>
        </w:tc>
        <w:tc>
          <w:tcPr>
            <w:tcW w:w="6463" w:type="dxa"/>
            <w:tcBorders>
              <w:top w:val="single" w:color="auto" w:sz="4" w:space="0"/>
              <w:left w:val="single" w:color="auto" w:sz="4" w:space="0"/>
              <w:bottom w:val="single" w:color="auto" w:sz="4" w:space="0"/>
              <w:right w:val="single" w:color="auto" w:sz="4" w:space="0"/>
            </w:tcBorders>
            <w:vAlign w:val="center"/>
          </w:tcPr>
          <w:p w14:paraId="414A2641">
            <w:pPr>
              <w:spacing w:line="360" w:lineRule="exact"/>
              <w:rPr>
                <w:sz w:val="24"/>
              </w:rPr>
            </w:pPr>
            <w:r>
              <w:rPr>
                <w:rFonts w:hint="eastAsia" w:ascii="宋体" w:hAnsi="宋体" w:cs="宋体"/>
                <w:sz w:val="24"/>
                <w:szCs w:val="24"/>
              </w:rPr>
              <w:t>申请人参加采购活动前三年内未被列入“信用中国”网站（www.creditchina.gov.cn）失信被执行人、安全生产严重失信主体名单、重大税收违法失信主体记录名单。（告知项，无需提供证明材料、以招标代理当日查询结果为准）</w:t>
            </w:r>
          </w:p>
        </w:tc>
      </w:tr>
      <w:tr w14:paraId="3CF0D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52" w:type="dxa"/>
            <w:vMerge w:val="continue"/>
            <w:tcBorders>
              <w:left w:val="single" w:color="auto" w:sz="4" w:space="0"/>
              <w:right w:val="single" w:color="auto" w:sz="4" w:space="0"/>
            </w:tcBorders>
            <w:vAlign w:val="center"/>
          </w:tcPr>
          <w:p w14:paraId="264838BB">
            <w:pPr>
              <w:spacing w:line="276" w:lineRule="auto"/>
              <w:jc w:val="center"/>
              <w:rPr>
                <w:sz w:val="24"/>
              </w:rPr>
            </w:pPr>
          </w:p>
        </w:tc>
        <w:tc>
          <w:tcPr>
            <w:tcW w:w="969" w:type="dxa"/>
            <w:vMerge w:val="continue"/>
            <w:tcBorders>
              <w:left w:val="single" w:color="auto" w:sz="4" w:space="0"/>
              <w:right w:val="single" w:color="auto" w:sz="4" w:space="0"/>
            </w:tcBorders>
            <w:vAlign w:val="center"/>
          </w:tcPr>
          <w:p w14:paraId="3BB525CA">
            <w:pPr>
              <w:jc w:val="center"/>
              <w:rPr>
                <w:sz w:val="24"/>
              </w:rPr>
            </w:pPr>
          </w:p>
        </w:tc>
        <w:tc>
          <w:tcPr>
            <w:tcW w:w="1527" w:type="dxa"/>
            <w:tcBorders>
              <w:top w:val="single" w:color="auto" w:sz="4" w:space="0"/>
              <w:left w:val="single" w:color="auto" w:sz="4" w:space="0"/>
              <w:bottom w:val="single" w:color="auto" w:sz="4" w:space="0"/>
              <w:right w:val="single" w:color="auto" w:sz="4" w:space="0"/>
            </w:tcBorders>
            <w:vAlign w:val="center"/>
          </w:tcPr>
          <w:p w14:paraId="2F7797A4">
            <w:pPr>
              <w:spacing w:line="0" w:lineRule="atLeast"/>
              <w:jc w:val="center"/>
              <w:rPr>
                <w:sz w:val="24"/>
              </w:rPr>
            </w:pPr>
            <w:r>
              <w:rPr>
                <w:rFonts w:hint="eastAsia"/>
                <w:sz w:val="24"/>
              </w:rPr>
              <w:t>申请人身份证明或授权书</w:t>
            </w:r>
          </w:p>
        </w:tc>
        <w:tc>
          <w:tcPr>
            <w:tcW w:w="6463" w:type="dxa"/>
            <w:tcBorders>
              <w:top w:val="single" w:color="auto" w:sz="4" w:space="0"/>
              <w:left w:val="single" w:color="auto" w:sz="4" w:space="0"/>
              <w:bottom w:val="single" w:color="auto" w:sz="4" w:space="0"/>
              <w:right w:val="single" w:color="auto" w:sz="4" w:space="0"/>
            </w:tcBorders>
            <w:vAlign w:val="center"/>
          </w:tcPr>
          <w:p w14:paraId="1A013F94">
            <w:pPr>
              <w:spacing w:line="360" w:lineRule="exact"/>
              <w:rPr>
                <w:sz w:val="24"/>
              </w:rPr>
            </w:pPr>
            <w:r>
              <w:rPr>
                <w:rFonts w:hint="eastAsia"/>
                <w:sz w:val="24"/>
              </w:rPr>
              <w:t>提供授权书；（如单位法人或船舶所有人参加遴选，无须提供授权书）</w:t>
            </w:r>
          </w:p>
        </w:tc>
      </w:tr>
      <w:tr w14:paraId="455D4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652" w:type="dxa"/>
            <w:vMerge w:val="continue"/>
            <w:tcBorders>
              <w:left w:val="single" w:color="auto" w:sz="4" w:space="0"/>
              <w:right w:val="single" w:color="auto" w:sz="4" w:space="0"/>
            </w:tcBorders>
            <w:vAlign w:val="center"/>
          </w:tcPr>
          <w:p w14:paraId="7DAD98C9">
            <w:pPr>
              <w:spacing w:line="276" w:lineRule="auto"/>
              <w:jc w:val="center"/>
              <w:rPr>
                <w:sz w:val="24"/>
              </w:rPr>
            </w:pPr>
          </w:p>
        </w:tc>
        <w:tc>
          <w:tcPr>
            <w:tcW w:w="969" w:type="dxa"/>
            <w:vMerge w:val="continue"/>
            <w:tcBorders>
              <w:left w:val="single" w:color="auto" w:sz="4" w:space="0"/>
              <w:right w:val="single" w:color="auto" w:sz="4" w:space="0"/>
            </w:tcBorders>
            <w:vAlign w:val="center"/>
          </w:tcPr>
          <w:p w14:paraId="07CB45C4">
            <w:pPr>
              <w:jc w:val="center"/>
              <w:rPr>
                <w:sz w:val="24"/>
              </w:rPr>
            </w:pPr>
          </w:p>
        </w:tc>
        <w:tc>
          <w:tcPr>
            <w:tcW w:w="1527" w:type="dxa"/>
            <w:tcBorders>
              <w:top w:val="single" w:color="auto" w:sz="4" w:space="0"/>
              <w:left w:val="single" w:color="auto" w:sz="4" w:space="0"/>
              <w:bottom w:val="single" w:color="auto" w:sz="4" w:space="0"/>
              <w:right w:val="single" w:color="auto" w:sz="4" w:space="0"/>
            </w:tcBorders>
            <w:vAlign w:val="center"/>
          </w:tcPr>
          <w:p w14:paraId="1C4035AA">
            <w:pPr>
              <w:spacing w:line="0" w:lineRule="atLeast"/>
              <w:jc w:val="center"/>
              <w:rPr>
                <w:sz w:val="24"/>
              </w:rPr>
            </w:pPr>
            <w:r>
              <w:rPr>
                <w:rFonts w:hint="eastAsia"/>
                <w:sz w:val="24"/>
              </w:rPr>
              <w:t>遴选保证金</w:t>
            </w:r>
          </w:p>
        </w:tc>
        <w:tc>
          <w:tcPr>
            <w:tcW w:w="6463" w:type="dxa"/>
            <w:tcBorders>
              <w:top w:val="single" w:color="auto" w:sz="4" w:space="0"/>
              <w:left w:val="single" w:color="auto" w:sz="4" w:space="0"/>
              <w:bottom w:val="single" w:color="auto" w:sz="4" w:space="0"/>
              <w:right w:val="single" w:color="auto" w:sz="4" w:space="0"/>
            </w:tcBorders>
            <w:vAlign w:val="center"/>
          </w:tcPr>
          <w:p w14:paraId="66577CD8">
            <w:pPr>
              <w:spacing w:line="360" w:lineRule="exact"/>
              <w:rPr>
                <w:sz w:val="24"/>
              </w:rPr>
            </w:pPr>
            <w:r>
              <w:rPr>
                <w:rFonts w:hint="eastAsia"/>
                <w:sz w:val="24"/>
              </w:rPr>
              <w:t>遴选保证金转账凭证</w:t>
            </w:r>
          </w:p>
        </w:tc>
      </w:tr>
      <w:tr w14:paraId="21145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652" w:type="dxa"/>
            <w:vMerge w:val="restart"/>
            <w:tcBorders>
              <w:top w:val="single" w:color="auto" w:sz="4" w:space="0"/>
              <w:left w:val="single" w:color="auto" w:sz="4" w:space="0"/>
              <w:right w:val="single" w:color="auto" w:sz="4" w:space="0"/>
            </w:tcBorders>
            <w:vAlign w:val="center"/>
          </w:tcPr>
          <w:p w14:paraId="27430EAA">
            <w:pPr>
              <w:spacing w:line="276" w:lineRule="auto"/>
              <w:jc w:val="center"/>
              <w:rPr>
                <w:sz w:val="24"/>
              </w:rPr>
            </w:pPr>
            <w:r>
              <w:rPr>
                <w:rFonts w:hint="eastAsia"/>
                <w:sz w:val="24"/>
              </w:rPr>
              <w:t>2</w:t>
            </w:r>
          </w:p>
        </w:tc>
        <w:tc>
          <w:tcPr>
            <w:tcW w:w="969" w:type="dxa"/>
            <w:vMerge w:val="restart"/>
            <w:tcBorders>
              <w:top w:val="single" w:color="auto" w:sz="4" w:space="0"/>
              <w:left w:val="single" w:color="auto" w:sz="4" w:space="0"/>
              <w:right w:val="single" w:color="auto" w:sz="4" w:space="0"/>
            </w:tcBorders>
            <w:vAlign w:val="center"/>
          </w:tcPr>
          <w:p w14:paraId="52965A50">
            <w:pPr>
              <w:jc w:val="center"/>
              <w:rPr>
                <w:sz w:val="24"/>
              </w:rPr>
            </w:pPr>
            <w:r>
              <w:rPr>
                <w:rFonts w:hint="eastAsia"/>
                <w:sz w:val="24"/>
              </w:rPr>
              <w:t>符合性评审</w:t>
            </w:r>
          </w:p>
        </w:tc>
        <w:tc>
          <w:tcPr>
            <w:tcW w:w="1527" w:type="dxa"/>
            <w:tcBorders>
              <w:top w:val="single" w:color="auto" w:sz="4" w:space="0"/>
              <w:left w:val="single" w:color="auto" w:sz="4" w:space="0"/>
              <w:bottom w:val="single" w:color="auto" w:sz="4" w:space="0"/>
              <w:right w:val="single" w:color="auto" w:sz="4" w:space="0"/>
            </w:tcBorders>
            <w:vAlign w:val="center"/>
          </w:tcPr>
          <w:p w14:paraId="6D137EA2">
            <w:pPr>
              <w:jc w:val="center"/>
              <w:rPr>
                <w:sz w:val="24"/>
              </w:rPr>
            </w:pPr>
            <w:r>
              <w:rPr>
                <w:rFonts w:hint="eastAsia"/>
                <w:sz w:val="24"/>
              </w:rPr>
              <w:t>响应文件的有效性</w:t>
            </w:r>
          </w:p>
        </w:tc>
        <w:tc>
          <w:tcPr>
            <w:tcW w:w="6463" w:type="dxa"/>
            <w:tcBorders>
              <w:top w:val="single" w:color="auto" w:sz="4" w:space="0"/>
              <w:left w:val="single" w:color="auto" w:sz="4" w:space="0"/>
              <w:bottom w:val="single" w:color="auto" w:sz="4" w:space="0"/>
              <w:right w:val="single" w:color="auto" w:sz="4" w:space="0"/>
            </w:tcBorders>
            <w:vAlign w:val="center"/>
          </w:tcPr>
          <w:p w14:paraId="1FEE094F">
            <w:pPr>
              <w:spacing w:line="360" w:lineRule="exact"/>
              <w:rPr>
                <w:sz w:val="24"/>
              </w:rPr>
            </w:pPr>
            <w:r>
              <w:rPr>
                <w:rFonts w:hint="eastAsia"/>
                <w:sz w:val="24"/>
              </w:rPr>
              <w:t>（1）响应文件按遴选文件规定签字或签章</w:t>
            </w:r>
          </w:p>
          <w:p w14:paraId="09E7EA4D">
            <w:pPr>
              <w:spacing w:line="360" w:lineRule="exact"/>
              <w:rPr>
                <w:sz w:val="24"/>
              </w:rPr>
            </w:pPr>
            <w:r>
              <w:rPr>
                <w:rFonts w:hint="eastAsia"/>
                <w:sz w:val="24"/>
              </w:rPr>
              <w:t>（2）响应文件按照遴选文件规定提供了有效的申请人身份证明或授权书</w:t>
            </w:r>
          </w:p>
        </w:tc>
      </w:tr>
      <w:tr w14:paraId="228D9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652" w:type="dxa"/>
            <w:vMerge w:val="continue"/>
            <w:tcBorders>
              <w:left w:val="single" w:color="auto" w:sz="4" w:space="0"/>
              <w:right w:val="single" w:color="auto" w:sz="4" w:space="0"/>
            </w:tcBorders>
            <w:vAlign w:val="center"/>
          </w:tcPr>
          <w:p w14:paraId="23EF2CA1">
            <w:pPr>
              <w:spacing w:line="276" w:lineRule="auto"/>
              <w:rPr>
                <w:sz w:val="24"/>
              </w:rPr>
            </w:pPr>
          </w:p>
        </w:tc>
        <w:tc>
          <w:tcPr>
            <w:tcW w:w="969" w:type="dxa"/>
            <w:vMerge w:val="continue"/>
            <w:tcBorders>
              <w:left w:val="single" w:color="auto" w:sz="4" w:space="0"/>
              <w:right w:val="single" w:color="auto" w:sz="4" w:space="0"/>
            </w:tcBorders>
            <w:vAlign w:val="center"/>
          </w:tcPr>
          <w:p w14:paraId="298FD8E2">
            <w:pPr>
              <w:jc w:val="center"/>
              <w:rPr>
                <w:sz w:val="24"/>
              </w:rPr>
            </w:pPr>
          </w:p>
        </w:tc>
        <w:tc>
          <w:tcPr>
            <w:tcW w:w="1527" w:type="dxa"/>
            <w:tcBorders>
              <w:top w:val="single" w:color="auto" w:sz="4" w:space="0"/>
              <w:left w:val="single" w:color="auto" w:sz="4" w:space="0"/>
              <w:bottom w:val="single" w:color="auto" w:sz="4" w:space="0"/>
              <w:right w:val="single" w:color="auto" w:sz="4" w:space="0"/>
            </w:tcBorders>
            <w:vAlign w:val="center"/>
          </w:tcPr>
          <w:p w14:paraId="0E801904">
            <w:pPr>
              <w:jc w:val="center"/>
              <w:rPr>
                <w:sz w:val="24"/>
              </w:rPr>
            </w:pPr>
            <w:r>
              <w:rPr>
                <w:rFonts w:hint="eastAsia"/>
                <w:sz w:val="24"/>
              </w:rPr>
              <w:t>响应文件的完整性</w:t>
            </w:r>
          </w:p>
        </w:tc>
        <w:tc>
          <w:tcPr>
            <w:tcW w:w="6463" w:type="dxa"/>
            <w:tcBorders>
              <w:top w:val="single" w:color="auto" w:sz="4" w:space="0"/>
              <w:left w:val="single" w:color="auto" w:sz="4" w:space="0"/>
              <w:bottom w:val="single" w:color="auto" w:sz="4" w:space="0"/>
              <w:right w:val="single" w:color="auto" w:sz="4" w:space="0"/>
            </w:tcBorders>
            <w:vAlign w:val="center"/>
          </w:tcPr>
          <w:p w14:paraId="634C69CB">
            <w:pPr>
              <w:spacing w:line="360" w:lineRule="exact"/>
              <w:rPr>
                <w:sz w:val="24"/>
              </w:rPr>
            </w:pPr>
            <w:r>
              <w:rPr>
                <w:rFonts w:hint="eastAsia"/>
                <w:sz w:val="24"/>
              </w:rPr>
              <w:t>（1）响应文件按照遴选文件规定的格式、内容和要求编制</w:t>
            </w:r>
          </w:p>
          <w:p w14:paraId="05838B8F">
            <w:pPr>
              <w:spacing w:line="360" w:lineRule="exact"/>
              <w:rPr>
                <w:sz w:val="24"/>
              </w:rPr>
            </w:pPr>
            <w:r>
              <w:rPr>
                <w:rFonts w:hint="eastAsia"/>
                <w:sz w:val="24"/>
              </w:rPr>
              <w:t>（2）响应文件的份数符合遴选文件规定</w:t>
            </w:r>
          </w:p>
        </w:tc>
      </w:tr>
      <w:tr w14:paraId="6FDA9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652" w:type="dxa"/>
            <w:vMerge w:val="continue"/>
            <w:tcBorders>
              <w:left w:val="single" w:color="auto" w:sz="4" w:space="0"/>
              <w:bottom w:val="single" w:color="auto" w:sz="4" w:space="0"/>
              <w:right w:val="single" w:color="auto" w:sz="4" w:space="0"/>
            </w:tcBorders>
            <w:vAlign w:val="center"/>
          </w:tcPr>
          <w:p w14:paraId="2CA3FA8A">
            <w:pPr>
              <w:spacing w:line="276" w:lineRule="auto"/>
              <w:jc w:val="center"/>
              <w:rPr>
                <w:sz w:val="24"/>
              </w:rPr>
            </w:pPr>
          </w:p>
        </w:tc>
        <w:tc>
          <w:tcPr>
            <w:tcW w:w="969" w:type="dxa"/>
            <w:vMerge w:val="continue"/>
            <w:tcBorders>
              <w:left w:val="single" w:color="auto" w:sz="4" w:space="0"/>
              <w:bottom w:val="single" w:color="auto" w:sz="4" w:space="0"/>
              <w:right w:val="single" w:color="auto" w:sz="4" w:space="0"/>
            </w:tcBorders>
            <w:vAlign w:val="center"/>
          </w:tcPr>
          <w:p w14:paraId="29CF59C0">
            <w:pPr>
              <w:jc w:val="center"/>
              <w:rPr>
                <w:sz w:val="24"/>
              </w:rPr>
            </w:pPr>
          </w:p>
        </w:tc>
        <w:tc>
          <w:tcPr>
            <w:tcW w:w="1527" w:type="dxa"/>
            <w:tcBorders>
              <w:top w:val="single" w:color="auto" w:sz="4" w:space="0"/>
              <w:left w:val="single" w:color="auto" w:sz="4" w:space="0"/>
              <w:bottom w:val="single" w:color="auto" w:sz="4" w:space="0"/>
              <w:right w:val="single" w:color="auto" w:sz="4" w:space="0"/>
            </w:tcBorders>
            <w:vAlign w:val="center"/>
          </w:tcPr>
          <w:p w14:paraId="12B2D785">
            <w:pPr>
              <w:rPr>
                <w:sz w:val="24"/>
              </w:rPr>
            </w:pPr>
            <w:r>
              <w:rPr>
                <w:rFonts w:hint="eastAsia"/>
                <w:sz w:val="24"/>
                <w:szCs w:val="24"/>
              </w:rPr>
              <w:t>对遴选文件的响应程度</w:t>
            </w:r>
          </w:p>
        </w:tc>
        <w:tc>
          <w:tcPr>
            <w:tcW w:w="6463" w:type="dxa"/>
            <w:tcBorders>
              <w:top w:val="single" w:color="auto" w:sz="4" w:space="0"/>
              <w:left w:val="single" w:color="auto" w:sz="4" w:space="0"/>
              <w:bottom w:val="single" w:color="auto" w:sz="4" w:space="0"/>
              <w:right w:val="single" w:color="auto" w:sz="4" w:space="0"/>
            </w:tcBorders>
            <w:vAlign w:val="center"/>
          </w:tcPr>
          <w:p w14:paraId="7202C8B4">
            <w:pPr>
              <w:spacing w:line="360" w:lineRule="exact"/>
              <w:rPr>
                <w:sz w:val="24"/>
              </w:rPr>
            </w:pPr>
            <w:r>
              <w:rPr>
                <w:rFonts w:hint="eastAsia"/>
                <w:sz w:val="24"/>
              </w:rPr>
              <w:t>遴选范围、遴选有效期、质量要求、技术要求、服务报价等实质性内容作出响应。</w:t>
            </w:r>
          </w:p>
        </w:tc>
      </w:tr>
    </w:tbl>
    <w:p w14:paraId="2F8D6BF4">
      <w:pPr>
        <w:rPr>
          <w:rFonts w:hint="eastAsia" w:ascii="宋体" w:hAnsi="宋体"/>
          <w:sz w:val="28"/>
          <w:szCs w:val="28"/>
        </w:rPr>
      </w:pPr>
      <w:bookmarkStart w:id="2" w:name="_Hlk32513429"/>
    </w:p>
    <w:p w14:paraId="5F7333C0">
      <w:pPr>
        <w:rPr>
          <w:rFonts w:hint="eastAsia" w:ascii="宋体" w:hAnsi="宋体"/>
          <w:sz w:val="28"/>
          <w:szCs w:val="28"/>
        </w:rPr>
      </w:pPr>
    </w:p>
    <w:p w14:paraId="61952ADC">
      <w:pPr>
        <w:rPr>
          <w:rFonts w:hint="eastAsia" w:ascii="宋体" w:hAnsi="宋体"/>
          <w:sz w:val="28"/>
          <w:szCs w:val="28"/>
        </w:rPr>
      </w:pPr>
    </w:p>
    <w:p w14:paraId="329A1928">
      <w:pPr>
        <w:rPr>
          <w:rFonts w:hint="eastAsia" w:ascii="宋体" w:hAnsi="宋体"/>
          <w:sz w:val="28"/>
          <w:szCs w:val="28"/>
        </w:rPr>
      </w:pPr>
    </w:p>
    <w:p w14:paraId="5CC3E833">
      <w:pPr>
        <w:rPr>
          <w:rFonts w:hint="eastAsia" w:ascii="宋体" w:hAnsi="宋体"/>
          <w:sz w:val="28"/>
          <w:szCs w:val="28"/>
        </w:rPr>
      </w:pPr>
    </w:p>
    <w:p w14:paraId="6D2E7876">
      <w:pPr>
        <w:pStyle w:val="2"/>
        <w:spacing w:before="120" w:beforeLines="50" w:after="120" w:afterLines="50"/>
        <w:rPr>
          <w:rFonts w:hint="eastAsia" w:ascii="宋体" w:hAnsi="宋体" w:eastAsia="宋体"/>
          <w:sz w:val="28"/>
          <w:szCs w:val="28"/>
        </w:rPr>
      </w:pPr>
      <w:bookmarkStart w:id="3" w:name="_Toc4464"/>
      <w:r>
        <w:rPr>
          <w:rFonts w:hint="eastAsia" w:ascii="宋体" w:hAnsi="宋体" w:eastAsia="宋体"/>
          <w:sz w:val="28"/>
          <w:szCs w:val="28"/>
        </w:rPr>
        <w:t>附表二 详细评审表</w:t>
      </w:r>
      <w:bookmarkEnd w:id="3"/>
    </w:p>
    <w:p w14:paraId="20427982">
      <w:pPr>
        <w:pStyle w:val="3"/>
        <w:spacing w:line="460" w:lineRule="exact"/>
        <w:ind w:left="0" w:leftChars="0" w:firstLine="0" w:firstLineChars="0"/>
        <w:rPr>
          <w:rFonts w:hint="eastAsia"/>
        </w:rPr>
      </w:pPr>
      <w:r>
        <w:rPr>
          <w:rFonts w:hint="eastAsia" w:ascii="宋体" w:hAnsi="宋体" w:cs="宋体"/>
          <w:b/>
          <w:bCs/>
          <w:sz w:val="24"/>
          <w:szCs w:val="24"/>
          <w:lang w:val="en-US" w:eastAsia="zh-CN"/>
        </w:rPr>
        <w:t>特别说明事项：评审依据中要求提供的设备照片应当为清晰可辩的彩色照片，如因提供的照片模糊不清或评审委员会认为无法佐证评审内容不予计分，后果由申请人自行承担。</w:t>
      </w:r>
    </w:p>
    <w:bookmarkEnd w:id="2"/>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1041"/>
        <w:gridCol w:w="5923"/>
        <w:gridCol w:w="892"/>
      </w:tblGrid>
      <w:tr w14:paraId="3CAE5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91" w:type="pct"/>
            <w:shd w:val="clear" w:color="auto" w:fill="auto"/>
            <w:vAlign w:val="center"/>
          </w:tcPr>
          <w:p w14:paraId="459B5B9B">
            <w:pPr>
              <w:jc w:val="center"/>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序号</w:t>
            </w:r>
          </w:p>
        </w:tc>
        <w:tc>
          <w:tcPr>
            <w:tcW w:w="611" w:type="pct"/>
            <w:shd w:val="clear" w:color="auto" w:fill="auto"/>
            <w:vAlign w:val="center"/>
          </w:tcPr>
          <w:p w14:paraId="74162F48">
            <w:pPr>
              <w:jc w:val="center"/>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内容</w:t>
            </w:r>
          </w:p>
        </w:tc>
        <w:tc>
          <w:tcPr>
            <w:tcW w:w="3475" w:type="pct"/>
            <w:shd w:val="clear" w:color="auto" w:fill="auto"/>
            <w:vAlign w:val="bottom"/>
          </w:tcPr>
          <w:p w14:paraId="1220E587">
            <w:pPr>
              <w:jc w:val="center"/>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评分标准</w:t>
            </w:r>
          </w:p>
        </w:tc>
        <w:tc>
          <w:tcPr>
            <w:tcW w:w="523" w:type="pct"/>
            <w:shd w:val="clear" w:color="auto" w:fill="auto"/>
            <w:noWrap/>
            <w:vAlign w:val="center"/>
          </w:tcPr>
          <w:p w14:paraId="13123600">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分值</w:t>
            </w:r>
          </w:p>
        </w:tc>
      </w:tr>
      <w:tr w14:paraId="5AA13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391" w:type="pct"/>
            <w:vMerge w:val="restart"/>
            <w:shd w:val="clear" w:color="auto" w:fill="auto"/>
            <w:noWrap/>
            <w:vAlign w:val="center"/>
          </w:tcPr>
          <w:p w14:paraId="08139481">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1</w:t>
            </w:r>
          </w:p>
        </w:tc>
        <w:tc>
          <w:tcPr>
            <w:tcW w:w="611" w:type="pct"/>
            <w:vMerge w:val="restart"/>
            <w:shd w:val="clear" w:color="auto" w:fill="auto"/>
            <w:vAlign w:val="center"/>
          </w:tcPr>
          <w:p w14:paraId="7234BE06">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基本要求（28分）</w:t>
            </w:r>
          </w:p>
        </w:tc>
        <w:tc>
          <w:tcPr>
            <w:tcW w:w="3475" w:type="pct"/>
            <w:shd w:val="clear" w:color="auto" w:fill="auto"/>
            <w:vAlign w:val="center"/>
          </w:tcPr>
          <w:p w14:paraId="3F541318">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1、所投船舶的船名、船籍港标识清晰、标识位置醒目得3分；有标识但不清晰的得1分；无标识不得分。</w:t>
            </w:r>
          </w:p>
          <w:p w14:paraId="1BE8B569">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7"/>
                <w:rFonts w:hint="default" w:asciiTheme="minorEastAsia" w:hAnsiTheme="minorEastAsia" w:eastAsiaTheme="minorEastAsia" w:cstheme="minorEastAsia"/>
                <w:color w:val="auto"/>
                <w:sz w:val="24"/>
                <w:szCs w:val="24"/>
                <w:lang w:bidi="ar"/>
              </w:rPr>
              <w:t>评审依据：提供</w:t>
            </w:r>
            <w:r>
              <w:rPr>
                <w:rStyle w:val="7"/>
                <w:rFonts w:asciiTheme="minorEastAsia" w:hAnsiTheme="minorEastAsia" w:eastAsiaTheme="minorEastAsia" w:cstheme="minorEastAsia"/>
                <w:color w:val="auto"/>
                <w:sz w:val="24"/>
                <w:szCs w:val="24"/>
                <w:lang w:bidi="ar"/>
              </w:rPr>
              <w:t>船舶标识</w:t>
            </w:r>
            <w:r>
              <w:rPr>
                <w:rStyle w:val="7"/>
                <w:rFonts w:hint="default" w:asciiTheme="minorEastAsia" w:hAnsiTheme="minorEastAsia" w:eastAsiaTheme="minorEastAsia" w:cstheme="minorEastAsia"/>
                <w:color w:val="auto"/>
                <w:sz w:val="24"/>
                <w:szCs w:val="24"/>
                <w:lang w:bidi="ar"/>
              </w:rPr>
              <w:t>照片佐证。</w:t>
            </w:r>
            <w:r>
              <w:rPr>
                <w:rStyle w:val="6"/>
                <w:rFonts w:hint="default" w:asciiTheme="minorEastAsia" w:hAnsiTheme="minorEastAsia" w:eastAsiaTheme="minorEastAsia" w:cstheme="minorEastAsia"/>
                <w:color w:val="auto"/>
                <w:sz w:val="24"/>
                <w:szCs w:val="24"/>
                <w:lang w:bidi="ar"/>
              </w:rPr>
              <w:t xml:space="preserve">                                              2、所投船舶应具备有效的《船舶制式无线电台执照》，AIS设备能正常使用，信息录入齐全准确得3分；AIS设备录入信息不全或不准确得1分；无AIS设备或设备无法使用不得分。</w:t>
            </w:r>
          </w:p>
          <w:p w14:paraId="6C6AEFFA">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评审依据：提供《船舶制式无线电台执照》复印件和AIS开机照片佐证。</w:t>
            </w:r>
          </w:p>
        </w:tc>
        <w:tc>
          <w:tcPr>
            <w:tcW w:w="523" w:type="pct"/>
            <w:shd w:val="clear" w:color="auto" w:fill="auto"/>
            <w:noWrap/>
            <w:vAlign w:val="center"/>
          </w:tcPr>
          <w:p w14:paraId="5D853724">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6分</w:t>
            </w:r>
          </w:p>
        </w:tc>
      </w:tr>
      <w:tr w14:paraId="6559A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trPr>
        <w:tc>
          <w:tcPr>
            <w:tcW w:w="391" w:type="pct"/>
            <w:vMerge w:val="continue"/>
            <w:shd w:val="clear" w:color="auto" w:fill="auto"/>
            <w:noWrap/>
            <w:vAlign w:val="center"/>
          </w:tcPr>
          <w:p w14:paraId="764EBD01">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45B5D483">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7364B62A">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所投船舶应具备有效的船舶起重设备产品证书，配备计量电子秤得3分；配备钢丝绳、抓斗等吊索吊具且外观完好得3分，钢丝绳或抓斗有明显损坏得2分；无相应设施不得分。</w:t>
            </w:r>
          </w:p>
          <w:p w14:paraId="6BA676E2">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评审依据：提供船舶起重设备产品证书和设备在船照片佐证。</w:t>
            </w:r>
          </w:p>
        </w:tc>
        <w:tc>
          <w:tcPr>
            <w:tcW w:w="523" w:type="pct"/>
            <w:shd w:val="clear" w:color="auto" w:fill="auto"/>
            <w:noWrap/>
            <w:vAlign w:val="center"/>
          </w:tcPr>
          <w:p w14:paraId="6C2BBF60">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6分</w:t>
            </w:r>
          </w:p>
        </w:tc>
      </w:tr>
      <w:tr w14:paraId="7E918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391" w:type="pct"/>
            <w:vMerge w:val="continue"/>
            <w:shd w:val="clear" w:color="auto" w:fill="auto"/>
            <w:noWrap/>
            <w:vAlign w:val="center"/>
          </w:tcPr>
          <w:p w14:paraId="3BA9F1B5">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01AA9150">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0CEC6D91">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所投船舶配置符合生产作业需求的清舱机（小型铲车）得5分。</w:t>
            </w:r>
          </w:p>
          <w:p w14:paraId="07955467">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w:t>
            </w:r>
            <w:r>
              <w:rPr>
                <w:rStyle w:val="7"/>
                <w:rFonts w:hint="default" w:asciiTheme="minorEastAsia" w:hAnsiTheme="minorEastAsia" w:eastAsiaTheme="minorEastAsia" w:cstheme="minorEastAsia"/>
                <w:color w:val="auto"/>
                <w:sz w:val="24"/>
                <w:szCs w:val="24"/>
              </w:rPr>
              <w:t>清舱机（小型铲车）</w:t>
            </w:r>
            <w:r>
              <w:rPr>
                <w:rStyle w:val="7"/>
                <w:rFonts w:hint="default" w:asciiTheme="minorEastAsia" w:hAnsiTheme="minorEastAsia" w:eastAsiaTheme="minorEastAsia" w:cstheme="minorEastAsia"/>
                <w:color w:val="auto"/>
                <w:sz w:val="24"/>
                <w:szCs w:val="24"/>
                <w:lang w:bidi="ar"/>
              </w:rPr>
              <w:t>在船照片佐证。</w:t>
            </w:r>
          </w:p>
        </w:tc>
        <w:tc>
          <w:tcPr>
            <w:tcW w:w="523" w:type="pct"/>
            <w:shd w:val="clear" w:color="auto" w:fill="auto"/>
            <w:noWrap/>
            <w:vAlign w:val="center"/>
          </w:tcPr>
          <w:p w14:paraId="06D39897">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5分</w:t>
            </w:r>
          </w:p>
        </w:tc>
      </w:tr>
      <w:tr w14:paraId="24950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trPr>
        <w:tc>
          <w:tcPr>
            <w:tcW w:w="391" w:type="pct"/>
            <w:vMerge w:val="continue"/>
            <w:shd w:val="clear" w:color="auto" w:fill="auto"/>
            <w:noWrap/>
            <w:vAlign w:val="center"/>
          </w:tcPr>
          <w:p w14:paraId="2EFDC2DF">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5829BE8D">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083E7909">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浮吊船舶出厂年限在5年以内（含5年）的得5分；浮吊船舶出厂年限在5年至10年（含10年）的得4分；浮吊船舶出厂年限在10年至15年（含15年）的得3分；出厂年限从船舶出厂之日至遴选响应截止之日计算。</w:t>
            </w:r>
          </w:p>
          <w:p w14:paraId="54800362">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评审依据：提供出厂日期证明材料佐证。</w:t>
            </w:r>
          </w:p>
        </w:tc>
        <w:tc>
          <w:tcPr>
            <w:tcW w:w="523" w:type="pct"/>
            <w:shd w:val="clear" w:color="auto" w:fill="auto"/>
            <w:noWrap/>
            <w:vAlign w:val="center"/>
          </w:tcPr>
          <w:p w14:paraId="4E0EB07A">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5分</w:t>
            </w:r>
          </w:p>
        </w:tc>
      </w:tr>
      <w:tr w14:paraId="77AA2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trPr>
        <w:tc>
          <w:tcPr>
            <w:tcW w:w="391" w:type="pct"/>
            <w:vMerge w:val="continue"/>
            <w:shd w:val="clear" w:color="auto" w:fill="auto"/>
            <w:noWrap/>
            <w:vAlign w:val="center"/>
          </w:tcPr>
          <w:p w14:paraId="03EF7734">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14BCB134">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646DCE0F">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提供生活污水记录簿、垃圾记录簿、油类记录簿中的任意一项得2分，最高可得6分。</w:t>
            </w:r>
            <w:r>
              <w:rPr>
                <w:rStyle w:val="6"/>
                <w:rFonts w:hint="default" w:asciiTheme="minorEastAsia" w:hAnsiTheme="minorEastAsia" w:eastAsiaTheme="minorEastAsia" w:cstheme="minorEastAsia"/>
                <w:b/>
                <w:bCs/>
                <w:color w:val="auto"/>
                <w:sz w:val="24"/>
                <w:szCs w:val="24"/>
                <w:lang w:bidi="ar"/>
              </w:rPr>
              <w:t>所投船舶须下载“船E行”APP并成功注册，否则不予计分。</w:t>
            </w:r>
          </w:p>
          <w:p w14:paraId="25E6CAEB">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评审依据：提供“船E行”用户页面截图，生活污水记录簿、垃圾记录簿、油类记录簿复印件佐证。</w:t>
            </w:r>
          </w:p>
        </w:tc>
        <w:tc>
          <w:tcPr>
            <w:tcW w:w="523" w:type="pct"/>
            <w:shd w:val="clear" w:color="auto" w:fill="auto"/>
            <w:noWrap/>
            <w:vAlign w:val="center"/>
          </w:tcPr>
          <w:p w14:paraId="22036799">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6分</w:t>
            </w:r>
          </w:p>
        </w:tc>
      </w:tr>
      <w:tr w14:paraId="2FDB7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391" w:type="pct"/>
            <w:vMerge w:val="restart"/>
            <w:shd w:val="clear" w:color="auto" w:fill="auto"/>
            <w:noWrap/>
            <w:vAlign w:val="center"/>
          </w:tcPr>
          <w:p w14:paraId="5540C338">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2</w:t>
            </w:r>
          </w:p>
        </w:tc>
        <w:tc>
          <w:tcPr>
            <w:tcW w:w="611" w:type="pct"/>
            <w:vMerge w:val="restart"/>
            <w:shd w:val="clear" w:color="auto" w:fill="auto"/>
            <w:vAlign w:val="center"/>
          </w:tcPr>
          <w:p w14:paraId="308E1C61">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配员要求（12分）</w:t>
            </w:r>
          </w:p>
        </w:tc>
        <w:tc>
          <w:tcPr>
            <w:tcW w:w="3475" w:type="pct"/>
            <w:shd w:val="clear" w:color="auto" w:fill="auto"/>
            <w:vAlign w:val="center"/>
          </w:tcPr>
          <w:p w14:paraId="1BF6BB6E">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所投船舶配备船员身体健康，符合从事水上过驳作业要求。每一人得2分，最高可得6分</w:t>
            </w:r>
            <w:r>
              <w:rPr>
                <w:rStyle w:val="6"/>
                <w:rFonts w:asciiTheme="minorEastAsia" w:hAnsiTheme="minorEastAsia" w:eastAsiaTheme="minorEastAsia" w:cstheme="minorEastAsia"/>
                <w:color w:val="auto"/>
                <w:sz w:val="24"/>
                <w:szCs w:val="24"/>
                <w:lang w:bidi="ar"/>
              </w:rPr>
              <w:t>。</w:t>
            </w:r>
          </w:p>
          <w:p w14:paraId="56E37154">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评审依据：提供医疗机构出具的2025年4月后船员体检合格证明或体检报告佐证。</w:t>
            </w:r>
          </w:p>
        </w:tc>
        <w:tc>
          <w:tcPr>
            <w:tcW w:w="523" w:type="pct"/>
            <w:shd w:val="clear" w:color="auto" w:fill="auto"/>
            <w:noWrap/>
            <w:vAlign w:val="center"/>
          </w:tcPr>
          <w:p w14:paraId="6E7F9747">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6分</w:t>
            </w:r>
          </w:p>
        </w:tc>
      </w:tr>
      <w:tr w14:paraId="0A72E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391" w:type="pct"/>
            <w:vMerge w:val="continue"/>
            <w:shd w:val="clear" w:color="auto" w:fill="auto"/>
            <w:noWrap/>
            <w:vAlign w:val="center"/>
          </w:tcPr>
          <w:p w14:paraId="108A467F">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23BF2C89">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09436B7A">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申请人为船舶配备船员购买了保额50万（含）以上意外险或雇主责任险且保险处于有效期限内，每一人得2分，最高可得6分</w:t>
            </w:r>
            <w:r>
              <w:rPr>
                <w:rStyle w:val="6"/>
                <w:rFonts w:asciiTheme="minorEastAsia" w:hAnsiTheme="minorEastAsia" w:eastAsiaTheme="minorEastAsia" w:cstheme="minorEastAsia"/>
                <w:color w:val="auto"/>
                <w:sz w:val="24"/>
                <w:szCs w:val="24"/>
                <w:lang w:bidi="ar"/>
              </w:rPr>
              <w:t>。</w:t>
            </w:r>
          </w:p>
          <w:p w14:paraId="781C58A9">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评审依据：提供保单或保险证明材料复印件佐证。</w:t>
            </w:r>
          </w:p>
        </w:tc>
        <w:tc>
          <w:tcPr>
            <w:tcW w:w="523" w:type="pct"/>
            <w:shd w:val="clear" w:color="auto" w:fill="auto"/>
            <w:noWrap/>
            <w:vAlign w:val="center"/>
          </w:tcPr>
          <w:p w14:paraId="728243E0">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6分</w:t>
            </w:r>
          </w:p>
        </w:tc>
      </w:tr>
      <w:tr w14:paraId="484A1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trPr>
        <w:tc>
          <w:tcPr>
            <w:tcW w:w="391" w:type="pct"/>
            <w:vMerge w:val="restart"/>
            <w:shd w:val="clear" w:color="auto" w:fill="auto"/>
            <w:noWrap/>
            <w:vAlign w:val="center"/>
          </w:tcPr>
          <w:p w14:paraId="75C44256">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3</w:t>
            </w:r>
          </w:p>
        </w:tc>
        <w:tc>
          <w:tcPr>
            <w:tcW w:w="611" w:type="pct"/>
            <w:vMerge w:val="restart"/>
            <w:shd w:val="clear" w:color="auto" w:fill="auto"/>
            <w:vAlign w:val="center"/>
          </w:tcPr>
          <w:p w14:paraId="0531D894">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环保要求（23分）</w:t>
            </w:r>
          </w:p>
        </w:tc>
        <w:tc>
          <w:tcPr>
            <w:tcW w:w="3475" w:type="pct"/>
            <w:shd w:val="clear" w:color="auto" w:fill="auto"/>
            <w:vAlign w:val="center"/>
          </w:tcPr>
          <w:p w14:paraId="009167F4">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为确保</w:t>
            </w:r>
            <w:r>
              <w:rPr>
                <w:rStyle w:val="6"/>
                <w:rFonts w:asciiTheme="minorEastAsia" w:hAnsiTheme="minorEastAsia" w:eastAsiaTheme="minorEastAsia" w:cstheme="minorEastAsia"/>
                <w:color w:val="auto"/>
                <w:sz w:val="24"/>
                <w:szCs w:val="24"/>
                <w:lang w:bidi="ar"/>
              </w:rPr>
              <w:t>作业过程中货渣</w:t>
            </w:r>
            <w:r>
              <w:rPr>
                <w:rStyle w:val="6"/>
                <w:rFonts w:hint="default" w:asciiTheme="minorEastAsia" w:hAnsiTheme="minorEastAsia" w:eastAsiaTheme="minorEastAsia" w:cstheme="minorEastAsia"/>
                <w:color w:val="auto"/>
                <w:sz w:val="24"/>
                <w:szCs w:val="24"/>
                <w:lang w:bidi="ar"/>
              </w:rPr>
              <w:t>不掉落、不撒漏</w:t>
            </w:r>
            <w:r>
              <w:rPr>
                <w:rStyle w:val="6"/>
                <w:rFonts w:asciiTheme="minorEastAsia" w:hAnsiTheme="minorEastAsia" w:eastAsiaTheme="minorEastAsia" w:cstheme="minorEastAsia"/>
                <w:color w:val="auto"/>
                <w:sz w:val="24"/>
                <w:szCs w:val="24"/>
                <w:lang w:bidi="ar"/>
              </w:rPr>
              <w:t>，</w:t>
            </w:r>
            <w:r>
              <w:rPr>
                <w:rStyle w:val="6"/>
                <w:rFonts w:hint="default" w:asciiTheme="minorEastAsia" w:hAnsiTheme="minorEastAsia" w:eastAsiaTheme="minorEastAsia" w:cstheme="minorEastAsia"/>
                <w:color w:val="auto"/>
                <w:sz w:val="24"/>
                <w:szCs w:val="24"/>
                <w:lang w:bidi="ar"/>
              </w:rPr>
              <w:t>前甲板全密封且围堰高度&gt;30cm得5分；前甲板围堰高度&gt;30cm，未密封完全，存在缺口得3分；前甲板围堰高度≤30cm得2分；前甲板无围堰不得分。</w:t>
            </w:r>
          </w:p>
          <w:p w14:paraId="644E58A4">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评审依据：提供前甲板密封照片和围堰测量结果照片佐证。</w:t>
            </w:r>
          </w:p>
        </w:tc>
        <w:tc>
          <w:tcPr>
            <w:tcW w:w="523" w:type="pct"/>
            <w:shd w:val="clear" w:color="auto" w:fill="auto"/>
            <w:noWrap/>
            <w:vAlign w:val="center"/>
          </w:tcPr>
          <w:p w14:paraId="2CAB723B">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5分</w:t>
            </w:r>
          </w:p>
        </w:tc>
      </w:tr>
      <w:tr w14:paraId="766FF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trPr>
        <w:tc>
          <w:tcPr>
            <w:tcW w:w="391" w:type="pct"/>
            <w:vMerge w:val="continue"/>
            <w:shd w:val="clear" w:color="auto" w:fill="auto"/>
            <w:noWrap/>
            <w:vAlign w:val="center"/>
          </w:tcPr>
          <w:p w14:paraId="5D24E830">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6BEC615C">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151C79FF">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所投船舶前甲板（驾驶室前）两侧各配备1个雨水污水柜得2分，配备2台抽污水泵得2分，配备2个雨水沉淀周转塑料桶（2个总容量1.5吨左右）得1分。未配备或相应计分的设施或设备数量不齐全不得分。</w:t>
            </w:r>
          </w:p>
          <w:p w14:paraId="66600426">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评审依据：提供设施设备</w:t>
            </w:r>
            <w:r>
              <w:rPr>
                <w:rStyle w:val="7"/>
                <w:rFonts w:asciiTheme="minorEastAsia" w:hAnsiTheme="minorEastAsia" w:eastAsiaTheme="minorEastAsia" w:cstheme="minorEastAsia"/>
                <w:color w:val="auto"/>
                <w:sz w:val="24"/>
                <w:szCs w:val="24"/>
                <w:lang w:bidi="ar"/>
              </w:rPr>
              <w:t>在船</w:t>
            </w:r>
            <w:r>
              <w:rPr>
                <w:rStyle w:val="7"/>
                <w:rFonts w:hint="default" w:asciiTheme="minorEastAsia" w:hAnsiTheme="minorEastAsia" w:eastAsiaTheme="minorEastAsia" w:cstheme="minorEastAsia"/>
                <w:color w:val="auto"/>
                <w:sz w:val="24"/>
                <w:szCs w:val="24"/>
                <w:lang w:bidi="ar"/>
              </w:rPr>
              <w:t>照片佐证。</w:t>
            </w:r>
          </w:p>
        </w:tc>
        <w:tc>
          <w:tcPr>
            <w:tcW w:w="523" w:type="pct"/>
            <w:shd w:val="clear" w:color="auto" w:fill="auto"/>
            <w:noWrap/>
            <w:vAlign w:val="center"/>
          </w:tcPr>
          <w:p w14:paraId="0C8C1E38">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5分</w:t>
            </w:r>
          </w:p>
        </w:tc>
      </w:tr>
      <w:tr w14:paraId="1E4C9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6" w:hRule="atLeast"/>
        </w:trPr>
        <w:tc>
          <w:tcPr>
            <w:tcW w:w="391" w:type="pct"/>
            <w:vMerge w:val="continue"/>
            <w:shd w:val="clear" w:color="auto" w:fill="auto"/>
            <w:noWrap/>
            <w:vAlign w:val="center"/>
          </w:tcPr>
          <w:p w14:paraId="40D0D9D1">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2740F4A1">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666942D6">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所投船舶分别配备了生活污水柜和油污水柜得5分；仅配备了生活污水柜或油污水柜得2分；各直排管道必须盲断、铅封（即不能有直排管道）且所有排管接相对应的生活污水柜或油污柜中，否则不得分。</w:t>
            </w:r>
          </w:p>
          <w:p w14:paraId="01F585D4">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评审依据：提供设施及相应部位照片佐证。</w:t>
            </w:r>
          </w:p>
        </w:tc>
        <w:tc>
          <w:tcPr>
            <w:tcW w:w="523" w:type="pct"/>
            <w:shd w:val="clear" w:color="auto" w:fill="auto"/>
            <w:noWrap/>
            <w:vAlign w:val="center"/>
          </w:tcPr>
          <w:p w14:paraId="431BD87A">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5分</w:t>
            </w:r>
          </w:p>
        </w:tc>
      </w:tr>
      <w:tr w14:paraId="6D17C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391" w:type="pct"/>
            <w:vMerge w:val="continue"/>
            <w:shd w:val="clear" w:color="auto" w:fill="auto"/>
            <w:noWrap/>
            <w:vAlign w:val="center"/>
          </w:tcPr>
          <w:p w14:paraId="7C6C97F0">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6D0DBBE9">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23B63FC9">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承诺为所投船舶配备完好的雾炮喷淋器、配备50片以上吸油毡得3分；未承诺不得分。</w:t>
            </w:r>
          </w:p>
          <w:p w14:paraId="42EEBEDF">
            <w:pPr>
              <w:spacing w:line="440" w:lineRule="exact"/>
              <w:textAlignment w:val="center"/>
              <w:rPr>
                <w:rFonts w:hint="eastAsia" w:asciiTheme="minorEastAsia" w:hAnsiTheme="minorEastAsia" w:eastAsiaTheme="minorEastAsia" w:cstheme="minorEastAsia"/>
                <w:sz w:val="24"/>
                <w:szCs w:val="24"/>
              </w:rPr>
            </w:pPr>
            <w:r>
              <w:rPr>
                <w:rStyle w:val="6"/>
                <w:rFonts w:hint="default" w:asciiTheme="minorEastAsia" w:hAnsiTheme="minorEastAsia" w:eastAsiaTheme="minorEastAsia" w:cstheme="minorEastAsia"/>
                <w:b/>
                <w:bCs/>
                <w:color w:val="auto"/>
                <w:sz w:val="24"/>
                <w:szCs w:val="24"/>
              </w:rPr>
              <w:t>评审依据：提供承诺书佐证。</w:t>
            </w:r>
          </w:p>
        </w:tc>
        <w:tc>
          <w:tcPr>
            <w:tcW w:w="523" w:type="pct"/>
            <w:shd w:val="clear" w:color="auto" w:fill="auto"/>
            <w:noWrap/>
            <w:vAlign w:val="center"/>
          </w:tcPr>
          <w:p w14:paraId="5C1D5A22">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3分</w:t>
            </w:r>
          </w:p>
        </w:tc>
      </w:tr>
      <w:tr w14:paraId="2A97E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391" w:type="pct"/>
            <w:vMerge w:val="continue"/>
            <w:shd w:val="clear" w:color="auto" w:fill="auto"/>
            <w:noWrap/>
            <w:vAlign w:val="center"/>
          </w:tcPr>
          <w:p w14:paraId="43D9A5BC">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0FB7EB4D">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0844817D">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1、所投船舶每配备一套垃圾分类（四类）中型垃圾桶得1分，最高可得4分</w:t>
            </w:r>
            <w:r>
              <w:rPr>
                <w:rStyle w:val="6"/>
                <w:rFonts w:asciiTheme="minorEastAsia" w:hAnsiTheme="minorEastAsia" w:eastAsiaTheme="minorEastAsia" w:cstheme="minorEastAsia"/>
                <w:color w:val="auto"/>
                <w:sz w:val="24"/>
                <w:szCs w:val="24"/>
                <w:lang w:bidi="ar"/>
              </w:rPr>
              <w:t>。</w:t>
            </w:r>
          </w:p>
          <w:p w14:paraId="41B1D4C9">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7"/>
                <w:rFonts w:hint="default" w:asciiTheme="minorEastAsia" w:hAnsiTheme="minorEastAsia" w:eastAsiaTheme="minorEastAsia" w:cstheme="minorEastAsia"/>
                <w:color w:val="auto"/>
                <w:sz w:val="24"/>
                <w:szCs w:val="24"/>
                <w:lang w:bidi="ar"/>
              </w:rPr>
              <w:t>评审依据：提供垃圾桶照片佐证。</w:t>
            </w:r>
          </w:p>
          <w:p w14:paraId="3A36A2AD">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8"/>
                <w:rFonts w:hint="default" w:asciiTheme="minorEastAsia" w:hAnsiTheme="minorEastAsia" w:eastAsiaTheme="minorEastAsia" w:cstheme="minorEastAsia"/>
                <w:color w:val="auto"/>
                <w:sz w:val="24"/>
                <w:szCs w:val="24"/>
                <w:u w:val="none"/>
                <w:lang w:bidi="ar"/>
              </w:rPr>
              <w:t>2、入内舱盖盖面喷涂“受限空间，进入需许可”警示标志，机房门醒目位置喷涂“机房重地，闲人免进”警示标志，配电柜（箱）贴“小心触电”警示标志，</w:t>
            </w:r>
            <w:r>
              <w:rPr>
                <w:rStyle w:val="6"/>
                <w:rFonts w:hint="default" w:asciiTheme="minorEastAsia" w:hAnsiTheme="minorEastAsia" w:eastAsiaTheme="minorEastAsia" w:cstheme="minorEastAsia"/>
                <w:color w:val="auto"/>
                <w:sz w:val="24"/>
                <w:szCs w:val="24"/>
                <w:lang w:bidi="ar"/>
              </w:rPr>
              <w:t>警示标志齐全得1分</w:t>
            </w:r>
            <w:r>
              <w:rPr>
                <w:rStyle w:val="6"/>
                <w:rFonts w:asciiTheme="minorEastAsia" w:hAnsiTheme="minorEastAsia" w:eastAsiaTheme="minorEastAsia" w:cstheme="minorEastAsia"/>
                <w:color w:val="auto"/>
                <w:sz w:val="24"/>
                <w:szCs w:val="24"/>
                <w:lang w:bidi="ar"/>
              </w:rPr>
              <w:t>。</w:t>
            </w:r>
          </w:p>
          <w:p w14:paraId="1DCA9FD3">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评审依据：提供喷涂的警示标志照片佐证。</w:t>
            </w:r>
          </w:p>
        </w:tc>
        <w:tc>
          <w:tcPr>
            <w:tcW w:w="523" w:type="pct"/>
            <w:shd w:val="clear" w:color="auto" w:fill="auto"/>
            <w:noWrap/>
            <w:vAlign w:val="center"/>
          </w:tcPr>
          <w:p w14:paraId="016213A2">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5分</w:t>
            </w:r>
          </w:p>
        </w:tc>
      </w:tr>
      <w:tr w14:paraId="6259F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0" w:hRule="atLeast"/>
        </w:trPr>
        <w:tc>
          <w:tcPr>
            <w:tcW w:w="391" w:type="pct"/>
            <w:vMerge w:val="restart"/>
            <w:shd w:val="clear" w:color="auto" w:fill="auto"/>
            <w:noWrap/>
            <w:vAlign w:val="center"/>
          </w:tcPr>
          <w:p w14:paraId="208F3AF9">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4</w:t>
            </w:r>
          </w:p>
        </w:tc>
        <w:tc>
          <w:tcPr>
            <w:tcW w:w="611" w:type="pct"/>
            <w:vMerge w:val="restart"/>
            <w:shd w:val="clear" w:color="auto" w:fill="auto"/>
            <w:vAlign w:val="center"/>
          </w:tcPr>
          <w:p w14:paraId="31D634B1">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应急要求（17分）</w:t>
            </w:r>
          </w:p>
        </w:tc>
        <w:tc>
          <w:tcPr>
            <w:tcW w:w="3475" w:type="pct"/>
            <w:shd w:val="clear" w:color="auto" w:fill="auto"/>
            <w:vAlign w:val="center"/>
          </w:tcPr>
          <w:p w14:paraId="786C811E">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1、船舶消防与救生设施按《船舶安全与环保证书》要求配备齐全并能有效使用，且使用固定架固定所放位置得5分</w:t>
            </w:r>
            <w:r>
              <w:rPr>
                <w:rStyle w:val="6"/>
                <w:rFonts w:asciiTheme="minorEastAsia" w:hAnsiTheme="minorEastAsia" w:eastAsiaTheme="minorEastAsia" w:cstheme="minorEastAsia"/>
                <w:color w:val="auto"/>
                <w:sz w:val="24"/>
                <w:szCs w:val="24"/>
                <w:lang w:bidi="ar"/>
              </w:rPr>
              <w:t>。</w:t>
            </w:r>
          </w:p>
          <w:p w14:paraId="7177FE8A">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评审依据：提供设备设施</w:t>
            </w:r>
            <w:r>
              <w:rPr>
                <w:rStyle w:val="7"/>
                <w:rFonts w:asciiTheme="minorEastAsia" w:hAnsiTheme="minorEastAsia" w:eastAsiaTheme="minorEastAsia" w:cstheme="minorEastAsia"/>
                <w:color w:val="auto"/>
                <w:sz w:val="24"/>
                <w:szCs w:val="24"/>
                <w:lang w:bidi="ar"/>
              </w:rPr>
              <w:t>固定</w:t>
            </w:r>
            <w:r>
              <w:rPr>
                <w:rStyle w:val="7"/>
                <w:rFonts w:hint="default" w:asciiTheme="minorEastAsia" w:hAnsiTheme="minorEastAsia" w:eastAsiaTheme="minorEastAsia" w:cstheme="minorEastAsia"/>
                <w:color w:val="auto"/>
                <w:sz w:val="24"/>
                <w:szCs w:val="24"/>
                <w:lang w:bidi="ar"/>
              </w:rPr>
              <w:t>照片佐证。</w:t>
            </w:r>
          </w:p>
          <w:p w14:paraId="69DC15B2">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2、在满足上述要求的基础上，增加配备1个防火毯、2个救生圈、2个救生杆应急用品，每个应急用品得1分，本项最高得5分。</w:t>
            </w:r>
          </w:p>
          <w:p w14:paraId="01B03E69">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评审依据：提供应急用品照片佐证。</w:t>
            </w:r>
          </w:p>
        </w:tc>
        <w:tc>
          <w:tcPr>
            <w:tcW w:w="523" w:type="pct"/>
            <w:shd w:val="clear" w:color="auto" w:fill="auto"/>
            <w:noWrap/>
            <w:vAlign w:val="center"/>
          </w:tcPr>
          <w:p w14:paraId="615704A4">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10分</w:t>
            </w:r>
          </w:p>
        </w:tc>
      </w:tr>
      <w:tr w14:paraId="5C21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391" w:type="pct"/>
            <w:vMerge w:val="continue"/>
            <w:shd w:val="clear" w:color="auto" w:fill="auto"/>
            <w:noWrap/>
            <w:vAlign w:val="center"/>
          </w:tcPr>
          <w:p w14:paraId="07214224">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21F30FB5">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7D29DD5A">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1、所投船舶配备应急水泵（2相电）及50米延长线盘的得2分</w:t>
            </w:r>
            <w:r>
              <w:rPr>
                <w:rStyle w:val="6"/>
                <w:rFonts w:asciiTheme="minorEastAsia" w:hAnsiTheme="minorEastAsia" w:eastAsiaTheme="minorEastAsia" w:cstheme="minorEastAsia"/>
                <w:color w:val="auto"/>
                <w:sz w:val="24"/>
                <w:szCs w:val="24"/>
                <w:lang w:bidi="ar"/>
              </w:rPr>
              <w:t>。</w:t>
            </w:r>
          </w:p>
          <w:p w14:paraId="6A433B13">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7"/>
                <w:rFonts w:hint="default" w:asciiTheme="minorEastAsia" w:hAnsiTheme="minorEastAsia" w:eastAsiaTheme="minorEastAsia" w:cstheme="minorEastAsia"/>
                <w:color w:val="auto"/>
                <w:sz w:val="24"/>
                <w:szCs w:val="24"/>
                <w:lang w:bidi="ar"/>
              </w:rPr>
              <w:t>评审依据：提供水泵及线盘照片佐证。</w:t>
            </w:r>
          </w:p>
          <w:p w14:paraId="54A19EEF">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2、排烟管采用隔热材料（如石棉瓦）得1分。</w:t>
            </w:r>
          </w:p>
          <w:p w14:paraId="04AE682D">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评审依据：提供排烟管照片佐证。</w:t>
            </w:r>
          </w:p>
        </w:tc>
        <w:tc>
          <w:tcPr>
            <w:tcW w:w="523" w:type="pct"/>
            <w:shd w:val="clear" w:color="auto" w:fill="auto"/>
            <w:noWrap/>
            <w:vAlign w:val="center"/>
          </w:tcPr>
          <w:p w14:paraId="31DF3C86">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3分</w:t>
            </w:r>
          </w:p>
        </w:tc>
      </w:tr>
      <w:tr w14:paraId="67252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391" w:type="pct"/>
            <w:vMerge w:val="continue"/>
            <w:shd w:val="clear" w:color="auto" w:fill="auto"/>
            <w:noWrap/>
            <w:vAlign w:val="center"/>
          </w:tcPr>
          <w:p w14:paraId="111D9E9C">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385A7C06">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77234287">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所投船舶安装自动喷水器（或探火与失火报警系统）得2分。</w:t>
            </w:r>
          </w:p>
          <w:p w14:paraId="0254B23F">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评审依据：提供设备照片佐证</w:t>
            </w:r>
            <w:r>
              <w:rPr>
                <w:rStyle w:val="7"/>
                <w:rFonts w:asciiTheme="minorEastAsia" w:hAnsiTheme="minorEastAsia" w:eastAsiaTheme="minorEastAsia" w:cstheme="minorEastAsia"/>
                <w:color w:val="auto"/>
                <w:sz w:val="24"/>
                <w:szCs w:val="24"/>
                <w:lang w:bidi="ar"/>
              </w:rPr>
              <w:t>。</w:t>
            </w:r>
          </w:p>
        </w:tc>
        <w:tc>
          <w:tcPr>
            <w:tcW w:w="523" w:type="pct"/>
            <w:shd w:val="clear" w:color="auto" w:fill="auto"/>
            <w:noWrap/>
            <w:vAlign w:val="center"/>
          </w:tcPr>
          <w:p w14:paraId="0646D9FB">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2分</w:t>
            </w:r>
          </w:p>
        </w:tc>
      </w:tr>
      <w:tr w14:paraId="491BA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391" w:type="pct"/>
            <w:vMerge w:val="continue"/>
            <w:shd w:val="clear" w:color="auto" w:fill="auto"/>
            <w:noWrap/>
            <w:vAlign w:val="center"/>
          </w:tcPr>
          <w:p w14:paraId="16CC70F1">
            <w:pPr>
              <w:jc w:val="cente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3C159722">
            <w:pPr>
              <w:jc w:val="center"/>
              <w:rPr>
                <w:rFonts w:hint="eastAsia" w:asciiTheme="minorEastAsia" w:hAnsiTheme="minorEastAsia" w:eastAsiaTheme="minorEastAsia" w:cstheme="minorEastAsia"/>
                <w:sz w:val="24"/>
                <w:szCs w:val="24"/>
              </w:rPr>
            </w:pPr>
          </w:p>
        </w:tc>
        <w:tc>
          <w:tcPr>
            <w:tcW w:w="3475" w:type="pct"/>
            <w:shd w:val="clear" w:color="auto" w:fill="auto"/>
            <w:vAlign w:val="center"/>
          </w:tcPr>
          <w:p w14:paraId="190744E2">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所投船舶配备应急药箱，并针对浮吊作业特性配齐外伤、烧伤及防暑等必要的急救药品得2分。</w:t>
            </w:r>
          </w:p>
          <w:p w14:paraId="2353B511">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评审依据：提供应急药箱及急救药品照片佐证</w:t>
            </w:r>
            <w:r>
              <w:rPr>
                <w:rStyle w:val="7"/>
                <w:rFonts w:asciiTheme="minorEastAsia" w:hAnsiTheme="minorEastAsia" w:eastAsiaTheme="minorEastAsia" w:cstheme="minorEastAsia"/>
                <w:color w:val="auto"/>
                <w:sz w:val="24"/>
                <w:szCs w:val="24"/>
                <w:lang w:bidi="ar"/>
              </w:rPr>
              <w:t>。</w:t>
            </w:r>
          </w:p>
        </w:tc>
        <w:tc>
          <w:tcPr>
            <w:tcW w:w="523" w:type="pct"/>
            <w:shd w:val="clear" w:color="auto" w:fill="auto"/>
            <w:noWrap/>
            <w:vAlign w:val="center"/>
          </w:tcPr>
          <w:p w14:paraId="5D560C1D">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2分</w:t>
            </w:r>
          </w:p>
        </w:tc>
      </w:tr>
      <w:tr w14:paraId="23EAA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6" w:hRule="atLeast"/>
        </w:trPr>
        <w:tc>
          <w:tcPr>
            <w:tcW w:w="391" w:type="pct"/>
            <w:vMerge w:val="restart"/>
            <w:shd w:val="clear" w:color="auto" w:fill="auto"/>
            <w:noWrap/>
            <w:vAlign w:val="center"/>
          </w:tcPr>
          <w:p w14:paraId="4484A444">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5</w:t>
            </w:r>
          </w:p>
        </w:tc>
        <w:tc>
          <w:tcPr>
            <w:tcW w:w="611" w:type="pct"/>
            <w:vMerge w:val="restart"/>
            <w:shd w:val="clear" w:color="auto" w:fill="auto"/>
            <w:vAlign w:val="center"/>
          </w:tcPr>
          <w:p w14:paraId="2F9EA5E3">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其他要求（20分）</w:t>
            </w:r>
          </w:p>
        </w:tc>
        <w:tc>
          <w:tcPr>
            <w:tcW w:w="3475" w:type="pct"/>
            <w:shd w:val="clear" w:color="auto" w:fill="auto"/>
            <w:vAlign w:val="center"/>
          </w:tcPr>
          <w:p w14:paraId="3CA8370E">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1、所投船舶安装4个摄像头（前、后、左、右各1个）：其中3台为400万防腐蚀AI摄像机，1台为双光谱火点检测AI摄像机；每安装1个摄像头得1分，本项最高4分</w:t>
            </w:r>
            <w:r>
              <w:rPr>
                <w:rStyle w:val="6"/>
                <w:rFonts w:asciiTheme="minorEastAsia" w:hAnsiTheme="minorEastAsia" w:eastAsiaTheme="minorEastAsia" w:cstheme="minorEastAsia"/>
                <w:color w:val="auto"/>
                <w:sz w:val="24"/>
                <w:szCs w:val="24"/>
                <w:lang w:bidi="ar"/>
              </w:rPr>
              <w:t>。</w:t>
            </w:r>
          </w:p>
          <w:p w14:paraId="66CFF311">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7"/>
                <w:rFonts w:hint="default" w:asciiTheme="minorEastAsia" w:hAnsiTheme="minorEastAsia" w:eastAsiaTheme="minorEastAsia" w:cstheme="minorEastAsia"/>
                <w:color w:val="auto"/>
                <w:sz w:val="24"/>
                <w:szCs w:val="24"/>
                <w:lang w:bidi="ar"/>
              </w:rPr>
              <w:t>评审依据：提供摄像头照片和设备参数佐证。</w:t>
            </w:r>
          </w:p>
          <w:p w14:paraId="2BF301AE">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2、上述摄像头均配有1TB以上视频储存容量，且保证入围后视频信号源能够接入采购人指定信息监控平台得1分。</w:t>
            </w:r>
          </w:p>
          <w:p w14:paraId="744EBF7E">
            <w:pPr>
              <w:spacing w:line="440" w:lineRule="exact"/>
              <w:textAlignment w:val="center"/>
              <w:rPr>
                <w:rFonts w:hint="eastAsia" w:asciiTheme="minorEastAsia" w:hAnsiTheme="minorEastAsia" w:eastAsiaTheme="minorEastAsia" w:cstheme="minorEastAsia"/>
                <w:sz w:val="24"/>
                <w:szCs w:val="24"/>
                <w:lang w:bidi="ar"/>
              </w:rPr>
            </w:pPr>
            <w:r>
              <w:rPr>
                <w:rStyle w:val="7"/>
                <w:rFonts w:hint="default" w:asciiTheme="minorEastAsia" w:hAnsiTheme="minorEastAsia" w:eastAsiaTheme="minorEastAsia" w:cstheme="minorEastAsia"/>
                <w:color w:val="auto"/>
                <w:sz w:val="24"/>
                <w:szCs w:val="24"/>
                <w:lang w:bidi="ar"/>
              </w:rPr>
              <w:t>评审依据：提供摄像头照片和设备参数佐证。</w:t>
            </w:r>
          </w:p>
        </w:tc>
        <w:tc>
          <w:tcPr>
            <w:tcW w:w="523" w:type="pct"/>
            <w:shd w:val="clear" w:color="auto" w:fill="auto"/>
            <w:noWrap/>
            <w:vAlign w:val="center"/>
          </w:tcPr>
          <w:p w14:paraId="0C15304D">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5分</w:t>
            </w:r>
          </w:p>
        </w:tc>
      </w:tr>
      <w:tr w14:paraId="34216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391" w:type="pct"/>
            <w:vMerge w:val="continue"/>
            <w:shd w:val="clear" w:color="auto" w:fill="auto"/>
            <w:noWrap/>
            <w:vAlign w:val="center"/>
          </w:tcPr>
          <w:p w14:paraId="7B12FD35">
            <w:pP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2288D66A">
            <w:pPr>
              <w:rPr>
                <w:rFonts w:hint="eastAsia" w:asciiTheme="minorEastAsia" w:hAnsiTheme="minorEastAsia" w:eastAsiaTheme="minorEastAsia" w:cstheme="minorEastAsia"/>
                <w:sz w:val="24"/>
                <w:szCs w:val="24"/>
              </w:rPr>
            </w:pPr>
          </w:p>
        </w:tc>
        <w:tc>
          <w:tcPr>
            <w:tcW w:w="3475" w:type="pct"/>
            <w:shd w:val="clear" w:color="auto" w:fill="auto"/>
            <w:vAlign w:val="center"/>
          </w:tcPr>
          <w:p w14:paraId="5B3B5A5A">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为保障摄像机和AIS设备电压稳定，所投船舶配备24V转220V逆变器且功率≥300W得2分；每配备1只12V且容量≥200AH储能电池组得1分，最多可提供2只得2分。</w:t>
            </w:r>
          </w:p>
          <w:p w14:paraId="7696533B">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评审依据：提供设备照片和设备参数佐证</w:t>
            </w:r>
          </w:p>
        </w:tc>
        <w:tc>
          <w:tcPr>
            <w:tcW w:w="523" w:type="pct"/>
            <w:shd w:val="clear" w:color="auto" w:fill="auto"/>
            <w:noWrap/>
            <w:vAlign w:val="center"/>
          </w:tcPr>
          <w:p w14:paraId="0003FD84">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4分</w:t>
            </w:r>
          </w:p>
        </w:tc>
      </w:tr>
      <w:tr w14:paraId="05CC1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391" w:type="pct"/>
            <w:vMerge w:val="continue"/>
            <w:shd w:val="clear" w:color="auto" w:fill="auto"/>
            <w:noWrap/>
            <w:vAlign w:val="center"/>
          </w:tcPr>
          <w:p w14:paraId="00729D80">
            <w:pP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4810E791">
            <w:pPr>
              <w:rPr>
                <w:rFonts w:hint="eastAsia" w:asciiTheme="minorEastAsia" w:hAnsiTheme="minorEastAsia" w:eastAsiaTheme="minorEastAsia" w:cstheme="minorEastAsia"/>
                <w:sz w:val="24"/>
                <w:szCs w:val="24"/>
              </w:rPr>
            </w:pPr>
          </w:p>
        </w:tc>
        <w:tc>
          <w:tcPr>
            <w:tcW w:w="3475" w:type="pct"/>
            <w:shd w:val="clear" w:color="auto" w:fill="auto"/>
            <w:vAlign w:val="center"/>
          </w:tcPr>
          <w:p w14:paraId="70986F32">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所投船舶安装4G音柱和4G紧急报警盒，且能够接入采购人一键报警系统设备得5分。</w:t>
            </w:r>
          </w:p>
          <w:p w14:paraId="4B908061">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评审依据：提供设备照片佐证。</w:t>
            </w:r>
          </w:p>
        </w:tc>
        <w:tc>
          <w:tcPr>
            <w:tcW w:w="523" w:type="pct"/>
            <w:shd w:val="clear" w:color="auto" w:fill="auto"/>
            <w:noWrap/>
            <w:vAlign w:val="center"/>
          </w:tcPr>
          <w:p w14:paraId="0199D6A5">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5分</w:t>
            </w:r>
          </w:p>
        </w:tc>
      </w:tr>
      <w:tr w14:paraId="4BC91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391" w:type="pct"/>
            <w:vMerge w:val="continue"/>
            <w:shd w:val="clear" w:color="auto" w:fill="auto"/>
            <w:noWrap/>
            <w:vAlign w:val="center"/>
          </w:tcPr>
          <w:p w14:paraId="0290F1BB">
            <w:pP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0D9654D5">
            <w:pPr>
              <w:rPr>
                <w:rFonts w:hint="eastAsia" w:asciiTheme="minorEastAsia" w:hAnsiTheme="minorEastAsia" w:eastAsiaTheme="minorEastAsia" w:cstheme="minorEastAsia"/>
                <w:sz w:val="24"/>
                <w:szCs w:val="24"/>
              </w:rPr>
            </w:pPr>
          </w:p>
        </w:tc>
        <w:tc>
          <w:tcPr>
            <w:tcW w:w="3475" w:type="pct"/>
            <w:shd w:val="clear" w:color="auto" w:fill="auto"/>
            <w:vAlign w:val="center"/>
          </w:tcPr>
          <w:p w14:paraId="71E060FF">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为保障AIS设备及灯光照明等生活用电储能，所投船舶安装太阳能光伏充电板得3分。</w:t>
            </w:r>
          </w:p>
          <w:p w14:paraId="5B4124EE">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评审依据：提供太阳能光伏充电板照片佐证。</w:t>
            </w:r>
          </w:p>
        </w:tc>
        <w:tc>
          <w:tcPr>
            <w:tcW w:w="523" w:type="pct"/>
            <w:shd w:val="clear" w:color="auto" w:fill="auto"/>
            <w:noWrap/>
            <w:vAlign w:val="center"/>
          </w:tcPr>
          <w:p w14:paraId="6D32AAA3">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3分</w:t>
            </w:r>
          </w:p>
        </w:tc>
      </w:tr>
      <w:tr w14:paraId="48409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391" w:type="pct"/>
            <w:vMerge w:val="continue"/>
            <w:shd w:val="clear" w:color="auto" w:fill="auto"/>
            <w:noWrap/>
            <w:vAlign w:val="center"/>
          </w:tcPr>
          <w:p w14:paraId="7D446F09">
            <w:pPr>
              <w:rPr>
                <w:rFonts w:hint="eastAsia" w:asciiTheme="minorEastAsia" w:hAnsiTheme="minorEastAsia" w:eastAsiaTheme="minorEastAsia" w:cstheme="minorEastAsia"/>
                <w:sz w:val="24"/>
                <w:szCs w:val="24"/>
              </w:rPr>
            </w:pPr>
          </w:p>
        </w:tc>
        <w:tc>
          <w:tcPr>
            <w:tcW w:w="611" w:type="pct"/>
            <w:vMerge w:val="continue"/>
            <w:shd w:val="clear" w:color="auto" w:fill="auto"/>
            <w:vAlign w:val="center"/>
          </w:tcPr>
          <w:p w14:paraId="4564A534">
            <w:pPr>
              <w:rPr>
                <w:rFonts w:hint="eastAsia" w:asciiTheme="minorEastAsia" w:hAnsiTheme="minorEastAsia" w:eastAsiaTheme="minorEastAsia" w:cstheme="minorEastAsia"/>
                <w:sz w:val="24"/>
                <w:szCs w:val="24"/>
              </w:rPr>
            </w:pPr>
          </w:p>
        </w:tc>
        <w:tc>
          <w:tcPr>
            <w:tcW w:w="3475" w:type="pct"/>
            <w:shd w:val="clear" w:color="auto" w:fill="auto"/>
            <w:vAlign w:val="center"/>
          </w:tcPr>
          <w:p w14:paraId="5798D779">
            <w:pPr>
              <w:spacing w:line="440" w:lineRule="exact"/>
              <w:textAlignment w:val="center"/>
              <w:rPr>
                <w:rStyle w:val="6"/>
                <w:rFonts w:hint="default" w:asciiTheme="minorEastAsia" w:hAnsiTheme="minorEastAsia" w:eastAsiaTheme="minorEastAsia" w:cstheme="minorEastAsia"/>
                <w:color w:val="auto"/>
                <w:sz w:val="24"/>
                <w:szCs w:val="24"/>
                <w:lang w:bidi="ar"/>
              </w:rPr>
            </w:pPr>
            <w:r>
              <w:rPr>
                <w:rStyle w:val="6"/>
                <w:rFonts w:hint="default" w:asciiTheme="minorEastAsia" w:hAnsiTheme="minorEastAsia" w:eastAsiaTheme="minorEastAsia" w:cstheme="minorEastAsia"/>
                <w:color w:val="auto"/>
                <w:sz w:val="24"/>
                <w:szCs w:val="24"/>
                <w:lang w:bidi="ar"/>
              </w:rPr>
              <w:t>所投船舶配备2间客房且配置的设施及用品能够满足住宿基本生活保障得3分。</w:t>
            </w:r>
          </w:p>
          <w:p w14:paraId="41229C53">
            <w:pPr>
              <w:spacing w:line="440" w:lineRule="exact"/>
              <w:textAlignment w:val="center"/>
              <w:rPr>
                <w:rFonts w:hint="eastAsia" w:asciiTheme="minorEastAsia" w:hAnsiTheme="minorEastAsia" w:eastAsiaTheme="minorEastAsia" w:cstheme="minorEastAsia"/>
                <w:sz w:val="24"/>
                <w:szCs w:val="24"/>
              </w:rPr>
            </w:pPr>
            <w:r>
              <w:rPr>
                <w:rStyle w:val="7"/>
                <w:rFonts w:hint="default" w:asciiTheme="minorEastAsia" w:hAnsiTheme="minorEastAsia" w:eastAsiaTheme="minorEastAsia" w:cstheme="minorEastAsia"/>
                <w:color w:val="auto"/>
                <w:sz w:val="24"/>
                <w:szCs w:val="24"/>
                <w:lang w:bidi="ar"/>
              </w:rPr>
              <w:t>评审依据：提供客房及内部布置照片佐证。</w:t>
            </w:r>
          </w:p>
        </w:tc>
        <w:tc>
          <w:tcPr>
            <w:tcW w:w="523" w:type="pct"/>
            <w:shd w:val="clear" w:color="auto" w:fill="auto"/>
            <w:noWrap/>
            <w:vAlign w:val="center"/>
          </w:tcPr>
          <w:p w14:paraId="67D3ED39">
            <w:pPr>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3分</w:t>
            </w:r>
          </w:p>
        </w:tc>
      </w:tr>
    </w:tbl>
    <w:p w14:paraId="7B637F02">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B055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kern w:val="0"/>
      <w:sz w:val="20"/>
    </w:rPr>
  </w:style>
  <w:style w:type="character" w:customStyle="1" w:styleId="6">
    <w:name w:val="font21"/>
    <w:basedOn w:val="5"/>
    <w:qFormat/>
    <w:uiPriority w:val="0"/>
    <w:rPr>
      <w:rFonts w:hint="eastAsia" w:ascii="宋体" w:hAnsi="宋体" w:eastAsia="宋体" w:cs="宋体"/>
      <w:color w:val="000000"/>
      <w:sz w:val="36"/>
      <w:szCs w:val="36"/>
      <w:u w:val="none"/>
    </w:rPr>
  </w:style>
  <w:style w:type="character" w:customStyle="1" w:styleId="7">
    <w:name w:val="font51"/>
    <w:basedOn w:val="5"/>
    <w:qFormat/>
    <w:uiPriority w:val="0"/>
    <w:rPr>
      <w:rFonts w:hint="eastAsia" w:ascii="宋体" w:hAnsi="宋体" w:eastAsia="宋体" w:cs="宋体"/>
      <w:b/>
      <w:bCs/>
      <w:color w:val="000000"/>
      <w:sz w:val="36"/>
      <w:szCs w:val="36"/>
      <w:u w:val="none"/>
    </w:rPr>
  </w:style>
  <w:style w:type="character" w:customStyle="1" w:styleId="8">
    <w:name w:val="font61"/>
    <w:basedOn w:val="5"/>
    <w:qFormat/>
    <w:uiPriority w:val="0"/>
    <w:rPr>
      <w:rFonts w:hint="eastAsia" w:ascii="宋体" w:hAnsi="宋体" w:eastAsia="宋体" w:cs="宋体"/>
      <w:color w:val="000000"/>
      <w:sz w:val="36"/>
      <w:szCs w:val="36"/>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2025-05-22T08:38:30Z</dcterms:created>
  <dc:creator>huawei</dc:creator>
  <cp:lastModifiedBy>害虫</cp:lastModifiedBy>
  <dcterms:modified xsi:type="dcterms:W3CDTF">2025-05-22T08:39:19Z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eyJoZGlkIjoiYzc1ZjIzYzJlNzY0ZGFiOGI0ZjA0MDMyMWQyNWIxYzkiLCJ1c2VySWQiOiIyMzY2OTc0NTEifQ==</vt:lpwstr>
  </property>
  <property fmtid="{D5CDD505-2E9C-101B-9397-08002B2CF9AE}" pid="4" name="ICV">
    <vt:lpwstr>38BBB21D5F934A04AC39F8957845BF42_12</vt:lpwstr>
  </property>
</Properties>
</file>